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Wykaz podręczników obowiązujących w roku szkolnym 2024/2025 w Zespole Szkół nr 5 – Specjalnych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1"/>
        <w:gridCol w:w="7642"/>
        <w:gridCol w:w="992"/>
        <w:gridCol w:w="1927"/>
        <w:gridCol w:w="1900"/>
        <w:tblGridChange w:id="0">
          <w:tblGrid>
            <w:gridCol w:w="1851"/>
            <w:gridCol w:w="7642"/>
            <w:gridCol w:w="992"/>
            <w:gridCol w:w="1927"/>
            <w:gridCol w:w="190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Tytuł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Klasa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Wydawnictwo/ Nr dopuszczenia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Uwagi – należy zaznaczyć, jeżeli podręcznik jest nieobowiązkowy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Chuderska B.: Język polski. Podręcznik dla uczniów szkoły branżowej I stopnia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Kl. 1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Operon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1077/1/2019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1077/2/2020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1077/3/2021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Tomaszek K.: Język polski. Podręcznik dla uczniów szkoły branżowej I stopnia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Tomaszek K.: Język polski. Podręcznik dla uczniów szkoły branżowej I stopnia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Kl.2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Kl. 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J. angielski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Gateway plus 1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Gateway plus 2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Kl.1,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Kl.2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Wy. Macmillan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Gateway plus 2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kl.3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Zając S.: Dziś historia 1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Kl.1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OST Oświatowiec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Zając S.: dziś historia 2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Kl.2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Zając S.: Dziś historia 3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Kl.3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Matematyka w szkole branżowej I stopnia – podręcznik dla klas 1-3, A. Cewe, M. Kruk, A. Magryś – Walczak, H. Nahorska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Kl.1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Kl.2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Kl.3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Podkowa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151/2022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e-podręcznik.pl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nieobowiązkowy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NOWE Oblicza geografii: zakres podstawowy dla liceum ogólnokształcącego i technikum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Kl.1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ZP 1212/1/2024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Oblicza geografii: zakres podstawowy dla liceum ogólnokształcącego i technikum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Oblicza geografii: zakres podstawowy dla liceum ogólnokształcącego i technikum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Kl.2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Kl.3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983/2/2020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983/3/2021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Biologia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NOWA Biologia na czasie: zakres podstawowy dla liceum ogólnokształcącego i technikum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Kl.1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ZP 1221/1/2024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Biologia na czasie: zakres podstawowy dla liceum ogólnokształcącego i technikum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Kl.2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Nowa Era 1006/2/2020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Biologia na czasie: zakres podstawowy dla liceum ogólnokształcącego i technikum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Kl.3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Nowa Era 1006/3/2021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Informatyka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---------------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e-podręcznik.pl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nieobowiązkowy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Edukacja dla bezpieczeństwa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Słoma J.: Żyję i działam bezpiecznie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Kl.1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960/2019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Biznes i zarządzanie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Makieła Z., Rachwał T.: Krok w biznes i zarządzanie” 1 zakres podstawowy podręcznik dla liceum ogólnokształcącego i technikum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Kl.1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1193/1/2023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Wychowanie do życia w rodzinie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color w:val="0c0c0c"/>
              </w:rPr>
            </w:pPr>
            <w:r w:rsidDel="00000000" w:rsidR="00000000" w:rsidRPr="00000000">
              <w:rPr>
                <w:rtl w:val="0"/>
              </w:rPr>
              <w:t xml:space="preserve">“Wędrując ku dorosłości”. Ćwiczenia dla uczniów liceum ogólnokształcącego, technikum, szkoły branżowej I stopnia.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Kl.1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Kl.2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Kl.3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Rubikon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Przedmioty zawodowe</w:t>
      </w:r>
    </w:p>
    <w:tbl>
      <w:tblPr>
        <w:tblStyle w:val="Table2"/>
        <w:tblW w:w="143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1"/>
        <w:gridCol w:w="7629"/>
        <w:gridCol w:w="990"/>
        <w:gridCol w:w="1982"/>
        <w:gridCol w:w="1900"/>
        <w:tblGridChange w:id="0">
          <w:tblGrid>
            <w:gridCol w:w="1811"/>
            <w:gridCol w:w="7629"/>
            <w:gridCol w:w="990"/>
            <w:gridCol w:w="1982"/>
            <w:gridCol w:w="190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Nazwa zawodu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Podręcznik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Klasa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Wydawnictwo/ Nr dopuszczenia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Uwagi - należy zaznaczyć, jeżeli podręcznik jest nieobowiązkowy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PRACOWNIK POMOCNICZY STOLARZA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Bukała W.: Bezpieczeństwo i higiena pracy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Bieniek S., Duchnowski K.: Podstawy obróbki „Obrabiarki i urządzenia w stolarstwie”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Prażmo J.: Technologia „Stolarstwo” cz. 1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Stawiński M.: Rysunek – „Rysunek zawodowy dla stolarza”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Kl.1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WSiP 2022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Szczuka J., Prządka W.: Technologia „Stolarstwo” cz.2 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Bieniek S., Duchnowski K.: Podstawy obróbki „Obrabiarki i urządzenia w stolarstwie”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Kucz M.: Język angielski zawodowy w budownictwie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Kl.3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Kl.3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Kl. 3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b w:val="0"/>
                <w:color w:val="000000"/>
                <w:highlight w:val="white"/>
                <w:rtl w:val="0"/>
              </w:rPr>
              <w:t xml:space="preserve">MONTER ZABUDOWY I ROBÓT WYKOŃCZENIO-WYCH W BUDOWNICTWIE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Kusina A., Machnik M.: Wykonywanie robót montażowych, okładzinowych i wykończeniowych. Cz.1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Kl.1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WSiP 2018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Solonek R., Pyszel R.: Wykonywanie robót montażowych, okładzinowych i wykończeniowych. Cz.2 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Kl.2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WSiP 2018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Popek M., Wapińska B.: Budownictwo ogólne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Kl.1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Kl.2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WSiP 2013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Maj T.: Rysunek techniczny budowlany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Kl.1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Kl.2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WSiP 2013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Karbowiak M., Bukała W.: BHP w branży budowlanej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Kucz M.: Język angielski zawodowy w budownictwie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Kl.1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Kl. 3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348.0" w:type="dxa"/>
        <w:jc w:val="left"/>
        <w:tblInd w:w="1775.0" w:type="dxa"/>
        <w:tblBorders>
          <w:top w:color="000000" w:space="0" w:sz="4" w:val="single"/>
        </w:tblBorders>
        <w:tblLayout w:type="fixed"/>
        <w:tblLook w:val="0000"/>
      </w:tblPr>
      <w:tblGrid>
        <w:gridCol w:w="12348"/>
        <w:tblGridChange w:id="0">
          <w:tblGrid>
            <w:gridCol w:w="12348"/>
          </w:tblGrid>
        </w:tblGridChange>
      </w:tblGrid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3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1"/>
        <w:gridCol w:w="7629"/>
        <w:gridCol w:w="990"/>
        <w:gridCol w:w="1982"/>
        <w:gridCol w:w="1900"/>
        <w:tblGridChange w:id="0">
          <w:tblGrid>
            <w:gridCol w:w="1811"/>
            <w:gridCol w:w="7629"/>
            <w:gridCol w:w="990"/>
            <w:gridCol w:w="1982"/>
            <w:gridCol w:w="1900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CUKIERNIK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Dominik P.: BHP w branży gastronomicznej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Kl.1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Kaźmierczak M.: Technologie produkcji cukierniczej. Produkcja wyrobów cukierniczych. Kwalifikacja SPC.01. cz. 1 i 2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Kl.1, 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kl.2, 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kl.3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Kocierz K.: Wyroby cukiernicze. T.1: Technika produkcji cukierniczej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Kl.1, kl.2, 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kl.3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WSiP/REA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Sarna K., Sarna R.: Język angielski dla technika żywienia i usług gastronomicznych i technika usług kelnerskich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Kl.3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KUCHARZ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Dominik P.: BHP w branży gastronomicznej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Kl.1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WSiP 2022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Konarzewska M.: Technologia gastronomiczna z towaroznawstwem. Przygotowanie i wydawanie dań. Kwalifikacja HGT.02. Cz.1 i 2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Kl.1, kl.2, 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kl.3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Kasperek A., Kondratowicz M.: Gastronomia. T.1.: Wyposażenie i zasady bezpieczeństwa w gastronomii. 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Kl.1, kl.2, 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kl.3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Sarna K., Sarna R.: Język angielski dla technika żywienia i usług gastronomicznych i technika usług kelnerskich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Kl.3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Podręczniki do Szkoły Specjalnej Przysposabiającej do Pracy wybierają nauczyciele po zapoznaniu się z orzeczeniami/opiniami o uczniach.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200" w:line="276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Opracowano na podstawie informacji przekazanych od nauczycieli:</w:t>
        <w:tab/>
        <w:tab/>
        <w:tab/>
        <w:tab/>
        <w:tab/>
        <w:tab/>
        <w:tab/>
        <w:tab/>
        <w:t xml:space="preserve">Zatwierdzam:</w:t>
      </w:r>
    </w:p>
    <w:p w:rsidR="00000000" w:rsidDel="00000000" w:rsidP="00000000" w:rsidRDefault="00000000" w:rsidRPr="00000000" w14:paraId="00000110">
      <w:pPr>
        <w:spacing w:after="200" w:line="276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Lucyna Król</w:t>
        <w:tab/>
        <w:tab/>
        <w:tab/>
        <w:tab/>
        <w:tab/>
        <w:tab/>
        <w:tab/>
        <w:tab/>
        <w:tab/>
        <w:tab/>
        <w:tab/>
        <w:tab/>
        <w:tab/>
        <w:tab/>
        <w:t xml:space="preserve">………………………..</w:t>
        <w:tab/>
      </w:r>
    </w:p>
    <w:p w:rsidR="00000000" w:rsidDel="00000000" w:rsidP="00000000" w:rsidRDefault="00000000" w:rsidRPr="00000000" w14:paraId="00000111">
      <w:pPr>
        <w:spacing w:after="200" w:line="276" w:lineRule="auto"/>
        <w:ind w:left="637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Dyrektor szkoły</w:t>
        <w:tab/>
        <w:tab/>
        <w:tab/>
        <w:tab/>
        <w:tab/>
        <w:tab/>
        <w:tab/>
        <w:tab/>
      </w:r>
    </w:p>
    <w:sectPr>
      <w:pgSz w:h="11906" w:w="16838" w:orient="landscape"/>
      <w:pgMar w:bottom="426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6816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ogrubienie">
    <w:name w:val="Strong"/>
    <w:basedOn w:val="Domylnaczcionkaakapitu"/>
    <w:uiPriority w:val="22"/>
    <w:qFormat w:val="1"/>
    <w:rsid w:val="00681627"/>
    <w:rPr>
      <w:b w:val="1"/>
      <w:bCs w:val="1"/>
    </w:rPr>
  </w:style>
  <w:style w:type="paragraph" w:styleId="Akapitzlist">
    <w:name w:val="List Paragraph"/>
    <w:basedOn w:val="Normalny"/>
    <w:uiPriority w:val="34"/>
    <w:qFormat w:val="1"/>
    <w:rsid w:val="002E151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R0HJTdmzQac7dRahATqe3xNjg==">CgMxLjAyCGguZ2pkZ3hzOAByITE1MExPVEdUbGpoQW9TMGNuaVExdTBFNno3MFpPd3VoRA==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2024-06-12T09:18:00Z</dcterms:created>
  <dc:creator>Elżbieta Biblioteka</dc:creator>
</cp:coreProperties>
</file>